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737" w:rsidRDefault="006B75DD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S.06.01.g – Summary of assets </w:t>
      </w:r>
    </w:p>
    <w:p w:rsidR="00C86737" w:rsidRDefault="006B75DD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C86737" w:rsidRDefault="006B75D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46423E" w:rsidRDefault="00A84693" w:rsidP="0046423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groups.</w:t>
      </w:r>
      <w:r w:rsidR="0046423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6423E">
        <w:rPr>
          <w:rFonts w:ascii="Times New Roman" w:hAnsi="Times New Roman" w:cs="Times New Roman"/>
          <w:sz w:val="20"/>
          <w:szCs w:val="20"/>
        </w:rPr>
        <w:t xml:space="preserve">This template is applicable </w:t>
      </w:r>
      <w:r w:rsidR="002B045E">
        <w:rPr>
          <w:rFonts w:ascii="Times New Roman" w:hAnsi="Times New Roman" w:cs="Times New Roman"/>
          <w:sz w:val="20"/>
          <w:szCs w:val="20"/>
        </w:rPr>
        <w:t xml:space="preserve">at the level of the group where all insurance or reinsurance undertakings within the group benefit from the exemption </w:t>
      </w:r>
      <w:r w:rsidR="0046423E">
        <w:rPr>
          <w:rFonts w:ascii="Times New Roman" w:hAnsi="Times New Roman" w:cs="Times New Roman"/>
          <w:sz w:val="20"/>
          <w:szCs w:val="20"/>
        </w:rPr>
        <w:t xml:space="preserve">in accordance with Article 35 (7) of </w:t>
      </w:r>
      <w:r w:rsidR="00A767CE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="0046423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86737" w:rsidRDefault="006B75DD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asset categories </w:t>
      </w:r>
      <w:r w:rsidRPr="00B579CC">
        <w:rPr>
          <w:rFonts w:ascii="Times New Roman" w:hAnsi="Times New Roman" w:cs="Times New Roman"/>
          <w:bCs/>
          <w:sz w:val="20"/>
          <w:szCs w:val="20"/>
        </w:rPr>
        <w:t>referred to in this template are the ones defined in Annex III – Complementary Identification Code (CIC) Categories</w:t>
      </w:r>
      <w:r>
        <w:rPr>
          <w:rFonts w:ascii="Times New Roman" w:hAnsi="Times New Roman" w:cs="Times New Roman"/>
          <w:bCs/>
          <w:sz w:val="20"/>
          <w:szCs w:val="20"/>
        </w:rPr>
        <w:t xml:space="preserve"> of this Regulation.</w:t>
      </w:r>
    </w:p>
    <w:p w:rsidR="00C86737" w:rsidRDefault="006B75D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template contains a summary of information on assets and derivatives regarding the </w:t>
      </w:r>
      <w:r w:rsidR="0065785D">
        <w:rPr>
          <w:rFonts w:ascii="Times New Roman" w:hAnsi="Times New Roman" w:cs="Times New Roman"/>
          <w:sz w:val="20"/>
          <w:szCs w:val="20"/>
        </w:rPr>
        <w:t xml:space="preserve">participating </w:t>
      </w:r>
      <w:r w:rsidR="002B045E">
        <w:rPr>
          <w:rFonts w:ascii="Times New Roman" w:hAnsi="Times New Roman" w:cs="Times New Roman"/>
          <w:sz w:val="20"/>
          <w:szCs w:val="20"/>
        </w:rPr>
        <w:t xml:space="preserve">insurance or reinsurance </w:t>
      </w:r>
      <w:r>
        <w:rPr>
          <w:rFonts w:ascii="Times New Roman" w:hAnsi="Times New Roman" w:cs="Times New Roman"/>
          <w:sz w:val="20"/>
          <w:szCs w:val="20"/>
        </w:rPr>
        <w:t>undertaking</w:t>
      </w:r>
      <w:r w:rsidR="002B045E">
        <w:rPr>
          <w:rFonts w:ascii="Times New Roman" w:hAnsi="Times New Roman" w:cs="Times New Roman"/>
          <w:sz w:val="20"/>
          <w:szCs w:val="20"/>
        </w:rPr>
        <w:t>, the insurance holding company or the mixed financial holding company</w:t>
      </w:r>
      <w:r w:rsidR="0065785D">
        <w:rPr>
          <w:rFonts w:ascii="Times New Roman" w:hAnsi="Times New Roman" w:cs="Times New Roman"/>
          <w:sz w:val="20"/>
          <w:szCs w:val="20"/>
        </w:rPr>
        <w:t>(</w:t>
      </w:r>
      <w:r w:rsidR="008E4B87">
        <w:rPr>
          <w:rFonts w:ascii="Times New Roman" w:hAnsi="Times New Roman" w:cs="Times New Roman"/>
          <w:sz w:val="20"/>
          <w:szCs w:val="20"/>
        </w:rPr>
        <w:t xml:space="preserve">at a </w:t>
      </w:r>
      <w:r w:rsidR="0065785D">
        <w:rPr>
          <w:rFonts w:ascii="Times New Roman" w:hAnsi="Times New Roman" w:cs="Times New Roman"/>
          <w:sz w:val="20"/>
          <w:szCs w:val="20"/>
        </w:rPr>
        <w:t>group</w:t>
      </w:r>
      <w:r w:rsidR="008E4B87">
        <w:rPr>
          <w:rFonts w:ascii="Times New Roman" w:hAnsi="Times New Roman" w:cs="Times New Roman"/>
          <w:sz w:val="20"/>
          <w:szCs w:val="20"/>
        </w:rPr>
        <w:t xml:space="preserve"> level</w:t>
      </w:r>
      <w:r w:rsidR="0065785D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, including assets and derivatives held in unit linked and index linked contracts.</w:t>
      </w:r>
    </w:p>
    <w:p w:rsidR="00C86737" w:rsidRDefault="006B75DD" w:rsidP="00523C5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  <w:lang w:val="en-US"/>
        </w:rPr>
        <w:t>he template is applicable for method 1 (Accounting consolidation-based method), method 2 (Deduction and aggregation method) and a combination of methods 1 and 2.</w:t>
      </w:r>
    </w:p>
    <w:p w:rsidR="00C86737" w:rsidRDefault="006B7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u w:val="single"/>
          <w:lang w:val="en-US"/>
        </w:rPr>
        <w:t>Where method 1 is used exclusively</w:t>
      </w:r>
      <w:r>
        <w:rPr>
          <w:rFonts w:ascii="Times New Roman" w:hAnsi="Times New Roman" w:cs="Times New Roman"/>
          <w:sz w:val="20"/>
          <w:szCs w:val="20"/>
          <w:lang w:val="en-US"/>
        </w:rPr>
        <w:t>, the reporting shall reflect the consolidated position of the assets</w:t>
      </w:r>
      <w:r w:rsidR="002B045E">
        <w:rPr>
          <w:rFonts w:ascii="Times New Roman" w:hAnsi="Times New Roman" w:cs="Times New Roman"/>
          <w:sz w:val="20"/>
          <w:szCs w:val="20"/>
          <w:lang w:val="en-US"/>
        </w:rPr>
        <w:t xml:space="preserve"> and derivatives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net of intra-group transactions held within the group.</w:t>
      </w:r>
    </w:p>
    <w:p w:rsidR="00C86737" w:rsidRDefault="00C867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86737" w:rsidRDefault="006B7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u w:val="single"/>
          <w:lang w:val="en-US"/>
        </w:rPr>
        <w:t>Where method 2 is used exclusively</w:t>
      </w:r>
      <w:r>
        <w:rPr>
          <w:rFonts w:ascii="Times New Roman" w:hAnsi="Times New Roman" w:cs="Times New Roman"/>
          <w:sz w:val="20"/>
          <w:szCs w:val="20"/>
          <w:lang w:val="en-US"/>
        </w:rPr>
        <w:t>, the report shall include the assets and derivatives held by the participating</w:t>
      </w:r>
      <w:r w:rsidR="00B426B1">
        <w:rPr>
          <w:rFonts w:ascii="Times New Roman" w:hAnsi="Times New Roman" w:cs="Times New Roman"/>
          <w:sz w:val="20"/>
          <w:szCs w:val="20"/>
          <w:lang w:val="en-US"/>
        </w:rPr>
        <w:t xml:space="preserve"> insurance and reinsurance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undertakings, the insurance holding companies, </w:t>
      </w:r>
      <w:r w:rsidR="00B426B1">
        <w:rPr>
          <w:rFonts w:ascii="Times New Roman" w:hAnsi="Times New Roman" w:cs="Times New Roman"/>
          <w:sz w:val="20"/>
          <w:szCs w:val="20"/>
          <w:lang w:val="en-US"/>
        </w:rPr>
        <w:t xml:space="preserve">mixed-financial holding companies, </w:t>
      </w:r>
      <w:r>
        <w:rPr>
          <w:rFonts w:ascii="Times New Roman" w:hAnsi="Times New Roman" w:cs="Times New Roman"/>
          <w:sz w:val="20"/>
          <w:szCs w:val="20"/>
          <w:lang w:val="en-US"/>
        </w:rPr>
        <w:t>subsidiaries and non-controlled participations</w:t>
      </w:r>
      <w:r w:rsidR="009638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regardless of the proportional share used. The assets held by </w:t>
      </w:r>
      <w:r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undertakings from the other financial sectors </w:t>
      </w:r>
      <w:r>
        <w:rPr>
          <w:rFonts w:ascii="Times New Roman" w:hAnsi="Times New Roman" w:cs="Times New Roman"/>
          <w:sz w:val="20"/>
          <w:szCs w:val="20"/>
          <w:lang w:val="en-US"/>
        </w:rPr>
        <w:t>shall not be included.</w:t>
      </w:r>
    </w:p>
    <w:p w:rsidR="00C86737" w:rsidRDefault="00C867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86737" w:rsidRDefault="006B7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u w:val="single"/>
          <w:lang w:val="en-US"/>
        </w:rPr>
        <w:t>Where a combination of methods 1 and 2 is used</w:t>
      </w:r>
      <w:r>
        <w:rPr>
          <w:rFonts w:ascii="Times New Roman" w:hAnsi="Times New Roman" w:cs="Times New Roman"/>
          <w:sz w:val="20"/>
          <w:szCs w:val="20"/>
          <w:lang w:val="en-US"/>
        </w:rPr>
        <w:t>, the report reflects the consolidated position of the assets and derivatives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net of intra-group transactions, held within the group and the assets and derivatives held by the participating </w:t>
      </w:r>
      <w:r w:rsidR="00B426B1">
        <w:rPr>
          <w:rFonts w:ascii="Times New Roman" w:hAnsi="Times New Roman" w:cs="Times New Roman"/>
          <w:sz w:val="20"/>
          <w:szCs w:val="20"/>
          <w:lang w:val="en-US"/>
        </w:rPr>
        <w:t xml:space="preserve">insurance or reinsurance </w:t>
      </w:r>
      <w:r>
        <w:rPr>
          <w:rFonts w:ascii="Times New Roman" w:hAnsi="Times New Roman" w:cs="Times New Roman"/>
          <w:sz w:val="20"/>
          <w:szCs w:val="20"/>
          <w:lang w:val="en-US"/>
        </w:rPr>
        <w:t>undertakings, the insurance holding companies,</w:t>
      </w:r>
      <w:r w:rsidR="00B426B1">
        <w:rPr>
          <w:rFonts w:ascii="Times New Roman" w:hAnsi="Times New Roman" w:cs="Times New Roman"/>
          <w:sz w:val="20"/>
          <w:szCs w:val="20"/>
          <w:lang w:val="en-US"/>
        </w:rPr>
        <w:t xml:space="preserve"> the mixed financial holding companies,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subsidiaries and non-controlled participations</w:t>
      </w:r>
      <w:r w:rsidR="009638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regardless of the proportional share used. </w:t>
      </w:r>
    </w:p>
    <w:p w:rsidR="00C86737" w:rsidRDefault="00C86737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572"/>
        <w:gridCol w:w="2217"/>
        <w:gridCol w:w="5453"/>
      </w:tblGrid>
      <w:tr w:rsidR="00C86737">
        <w:trPr>
          <w:trHeight w:val="30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523C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523C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listed,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listed assets by portfolio.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 the purpose of this template an asset is considered as being listed if it is negotiated on a regulated market or on a multilateral trading facility, as defined by Directive 2004/39/EC. If the asset is listed in more than one country, the country shall be the one of the most liquid regulated market or multilateral trading facility.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split by portfolio is not mandatory, except for identifying ring fenced funds, but shall be made if the undertaking uses it internally. When an undertaking does not apply a split by portfolio “general” shall be used.</w:t>
            </w:r>
          </w:p>
        </w:tc>
      </w:tr>
    </w:tbl>
    <w:p w:rsidR="00C86737" w:rsidRDefault="00C86737"/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572"/>
        <w:gridCol w:w="2217"/>
        <w:gridCol w:w="5453"/>
      </w:tblGrid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C0010 to C0060/R0020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listed in a stock exchange,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not listed in a stock exchange, by portfolio.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 the purpose of this template, not listed assets are the ones that are not negotiated on a regulated market or on a multilateral trading facility, as defined by Directive 2004/39/EC.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0" w:name="_GoBack1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exchange tradable,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that are not exchange tradable, by portfolio.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the purpose of this template, not exchange tradable assets are the ones that </w:t>
            </w:r>
            <w:r w:rsidR="00DD6AA6" w:rsidRPr="00DD6AA6">
              <w:rPr>
                <w:rFonts w:ascii="Times New Roman" w:hAnsi="Times New Roman" w:cs="Times New Roman"/>
                <w:sz w:val="20"/>
                <w:szCs w:val="20"/>
              </w:rPr>
              <w:t xml:space="preserve">by their nature are not subject to negotiation on a regulated market or on a multilateral trading facility, as defined by </w:t>
            </w:r>
            <w:bookmarkStart w:id="1" w:name="_GoBack"/>
            <w:r w:rsidR="00DD6AA6" w:rsidRPr="00DD6AA6">
              <w:rPr>
                <w:rFonts w:ascii="Times New Roman" w:hAnsi="Times New Roman" w:cs="Times New Roman"/>
                <w:sz w:val="20"/>
                <w:szCs w:val="20"/>
              </w:rPr>
              <w:t>Direct</w:t>
            </w:r>
            <w:bookmarkEnd w:id="1"/>
            <w:r w:rsidR="00DD6AA6" w:rsidRPr="00DD6AA6">
              <w:rPr>
                <w:rFonts w:ascii="Times New Roman" w:hAnsi="Times New Roman" w:cs="Times New Roman"/>
                <w:sz w:val="20"/>
                <w:szCs w:val="20"/>
              </w:rPr>
              <w:t>ive 2004/39/CE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2" w:name="_GoBack11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C0060/R0040 </w:t>
            </w:r>
          </w:p>
        </w:tc>
        <w:tc>
          <w:tcPr>
            <w:tcW w:w="22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Government bonds, by portfolio</w:t>
            </w:r>
          </w:p>
        </w:tc>
        <w:tc>
          <w:tcPr>
            <w:tcW w:w="54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classifiable under asset category 1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3" w:name="_GoBack111"/>
            <w:bookmarkEnd w:id="3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Corporate bonds,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asset category 2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non-life, shareholder's funds, general (no split) and ring fenced funds.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4" w:name="_GoBack1111"/>
            <w:bookmarkEnd w:id="4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C0010 to C0060/R0060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Equity,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3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5" w:name="_GoBack11111"/>
            <w:bookmarkEnd w:id="5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Collective Investment Undertakings,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4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6" w:name="_GoBack111111"/>
            <w:bookmarkEnd w:id="6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Structured notes,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5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7" w:name="_GoBack1111111"/>
            <w:bookmarkEnd w:id="7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Collateralised securities,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6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8" w:name="_GoBack11111111"/>
            <w:bookmarkEnd w:id="8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C0060/R0100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Cash and deposits,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7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9" w:name="_GoBack111111111"/>
            <w:bookmarkEnd w:id="9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Mortgages and loans,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8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0" w:name="_GoBack1111111111"/>
            <w:bookmarkEnd w:id="10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Properties,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9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1" w:name="_GoBack11111111111"/>
            <w:bookmarkEnd w:id="11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 investments,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asset category 0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, non-life, shareholder's funds, general (no split) and ring fenced funds.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2" w:name="_GoBack111111111111"/>
            <w:bookmarkEnd w:id="12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C0060/R0140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Futures,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A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3" w:name="_GoBack1111111111111"/>
            <w:bookmarkEnd w:id="13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options,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B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4" w:name="_GoBack11111111111111"/>
            <w:bookmarkEnd w:id="14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Put options,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C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5" w:name="_GoBack111111111111111"/>
            <w:bookmarkEnd w:id="15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Swaps,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D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6" w:name="_GoBack1111111111111111"/>
            <w:bookmarkEnd w:id="16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Forwards,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E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7" w:name="_GoBack11111111111111111"/>
            <w:bookmarkEnd w:id="17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Credit derivatives, by portfolio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F of Annex III – Complementary Identification Code (CIC) Categories,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</w:t>
            </w:r>
            <w:proofErr w:type="gramStart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life</w:t>
            </w:r>
            <w:proofErr w:type="gramEnd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, non-life, shareholder's funds, general (no split) and ring fenced funds.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8" w:name="_GoBack111111111111111111"/>
            <w:bookmarkEnd w:id="18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</w:tbl>
    <w:p w:rsidR="00C86737" w:rsidRDefault="00C86737"/>
    <w:sectPr w:rsidR="00C86737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3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37"/>
    <w:rsid w:val="0015433E"/>
    <w:rsid w:val="002B045E"/>
    <w:rsid w:val="0046423E"/>
    <w:rsid w:val="00523C5E"/>
    <w:rsid w:val="0065785D"/>
    <w:rsid w:val="006B75DD"/>
    <w:rsid w:val="00801867"/>
    <w:rsid w:val="008E4B87"/>
    <w:rsid w:val="00963813"/>
    <w:rsid w:val="009D7A7F"/>
    <w:rsid w:val="00A767CE"/>
    <w:rsid w:val="00A84693"/>
    <w:rsid w:val="00B426B1"/>
    <w:rsid w:val="00B579CC"/>
    <w:rsid w:val="00C86737"/>
    <w:rsid w:val="00DD6AA6"/>
    <w:rsid w:val="00F2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594A-204C-4152-8244-FBBE148368DD}">
  <ds:schemaRefs/>
</ds:datastoreItem>
</file>

<file path=customXml/itemProps2.xml><?xml version="1.0" encoding="utf-8"?>
<ds:datastoreItem xmlns:ds="http://schemas.openxmlformats.org/officeDocument/2006/customXml" ds:itemID="{349F0A83-A53E-46D5-86AA-0F1B6BD1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1945</Words>
  <Characters>11090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13009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4</cp:revision>
  <cp:lastPrinted>2014-06-27T15:20:00Z</cp:lastPrinted>
  <dcterms:created xsi:type="dcterms:W3CDTF">2014-11-13T10:21:00Z</dcterms:created>
  <dcterms:modified xsi:type="dcterms:W3CDTF">2014-11-18T08:20:00Z</dcterms:modified>
  <dc:language>en-US</dc:language>
</cp:coreProperties>
</file>